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/>
    <w:p w:rsidR="004802D9" w:rsidRDefault="004802D9" w:rsidP="004802D9">
      <w:pPr>
        <w:rPr>
          <w:b/>
          <w:smallCaps/>
          <w:sz w:val="36"/>
          <w:szCs w:val="36"/>
        </w:rPr>
      </w:pPr>
    </w:p>
    <w:p w:rsidR="004802D9" w:rsidRDefault="004802D9" w:rsidP="004802D9">
      <w:pPr>
        <w:ind w:left="360"/>
        <w:rPr>
          <w:b/>
          <w:smallCaps/>
          <w:sz w:val="36"/>
          <w:szCs w:val="36"/>
        </w:rPr>
      </w:pPr>
    </w:p>
    <w:p w:rsidR="004802D9" w:rsidRDefault="004802D9" w:rsidP="004802D9">
      <w:pPr>
        <w:ind w:left="360"/>
        <w:rPr>
          <w:b/>
          <w:smallCaps/>
          <w:sz w:val="36"/>
          <w:szCs w:val="36"/>
        </w:rPr>
      </w:pPr>
    </w:p>
    <w:p w:rsidR="004802D9" w:rsidRPr="00A801D7" w:rsidRDefault="004802D9" w:rsidP="004802D9">
      <w:pPr>
        <w:pStyle w:val="Listaszerbekezds"/>
        <w:numPr>
          <w:ilvl w:val="0"/>
          <w:numId w:val="2"/>
        </w:num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Műszaki Leírás</w:t>
      </w: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pStyle w:val="Szvegtrzsbehzssal"/>
        <w:spacing w:after="0"/>
        <w:ind w:left="0"/>
        <w:jc w:val="center"/>
        <w:rPr>
          <w:b/>
          <w:caps/>
          <w:sz w:val="32"/>
          <w:szCs w:val="32"/>
        </w:rPr>
      </w:pPr>
    </w:p>
    <w:p w:rsidR="004802D9" w:rsidRDefault="004802D9" w:rsidP="004802D9">
      <w:pPr>
        <w:ind w:left="720"/>
        <w:jc w:val="both"/>
        <w:rPr>
          <w:bCs/>
        </w:rPr>
      </w:pPr>
      <w:r>
        <w:rPr>
          <w:bCs/>
        </w:rPr>
        <w:t xml:space="preserve"> </w:t>
      </w: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Default="004802D9" w:rsidP="004802D9">
      <w:pPr>
        <w:ind w:left="720"/>
        <w:jc w:val="both"/>
        <w:rPr>
          <w:bCs/>
        </w:rPr>
      </w:pPr>
    </w:p>
    <w:p w:rsidR="004802D9" w:rsidRPr="00062D97" w:rsidRDefault="004802D9" w:rsidP="004802D9">
      <w:pPr>
        <w:numPr>
          <w:ilvl w:val="0"/>
          <w:numId w:val="3"/>
        </w:numPr>
        <w:suppressAutoHyphens/>
        <w:jc w:val="center"/>
        <w:rPr>
          <w:b/>
        </w:rPr>
      </w:pPr>
      <w:r w:rsidRPr="00062D97">
        <w:rPr>
          <w:b/>
        </w:rPr>
        <w:lastRenderedPageBreak/>
        <w:t>Műszaki tartalom</w:t>
      </w:r>
    </w:p>
    <w:p w:rsidR="004802D9" w:rsidRPr="00F35E02" w:rsidRDefault="00F35E02" w:rsidP="00F35E02">
      <w:pPr>
        <w:numPr>
          <w:ilvl w:val="0"/>
          <w:numId w:val="3"/>
        </w:numPr>
        <w:suppressAutoHyphens/>
        <w:jc w:val="center"/>
        <w:rPr>
          <w:b/>
        </w:rPr>
      </w:pPr>
      <w:r w:rsidRPr="005420FF">
        <w:rPr>
          <w:b/>
        </w:rPr>
        <w:t>„</w:t>
      </w:r>
      <w:r w:rsidRPr="00F35E02">
        <w:rPr>
          <w:b/>
        </w:rPr>
        <w:t>TOP-1.1.1-15_HB1-2016-00017 azonosítószámú projekthez kapcsolódó infrastruktúra</w:t>
      </w:r>
      <w:r>
        <w:rPr>
          <w:b/>
        </w:rPr>
        <w:t xml:space="preserve"> </w:t>
      </w:r>
      <w:r w:rsidRPr="00F35E02">
        <w:rPr>
          <w:b/>
        </w:rPr>
        <w:t>fejlesztése - elektromos hálózati rendszer megvalósítása”</w:t>
      </w:r>
      <w:r>
        <w:rPr>
          <w:b/>
        </w:rPr>
        <w:t xml:space="preserve"> </w:t>
      </w:r>
      <w:r w:rsidR="004802D9" w:rsidRPr="00F35E02">
        <w:rPr>
          <w:b/>
        </w:rPr>
        <w:t>megtervezéséhez</w:t>
      </w:r>
    </w:p>
    <w:p w:rsidR="004802D9" w:rsidRPr="00062D97" w:rsidRDefault="004802D9" w:rsidP="004802D9">
      <w:pPr>
        <w:pStyle w:val="Cmsor7"/>
        <w:numPr>
          <w:ilvl w:val="6"/>
          <w:numId w:val="3"/>
        </w:numPr>
        <w:tabs>
          <w:tab w:val="clear" w:pos="900"/>
        </w:tabs>
        <w:suppressAutoHyphens/>
        <w:jc w:val="left"/>
      </w:pPr>
    </w:p>
    <w:p w:rsidR="004802D9" w:rsidRPr="00062D97" w:rsidRDefault="004802D9" w:rsidP="004802D9">
      <w:pPr>
        <w:pStyle w:val="Cmsor7"/>
        <w:numPr>
          <w:ilvl w:val="6"/>
          <w:numId w:val="3"/>
        </w:numPr>
        <w:tabs>
          <w:tab w:val="clear" w:pos="900"/>
        </w:tabs>
        <w:suppressAutoHyphens/>
        <w:jc w:val="left"/>
      </w:pPr>
      <w:r w:rsidRPr="00062D97">
        <w:rPr>
          <w:b w:val="0"/>
        </w:rPr>
        <w:t>1. Általános adatok:</w:t>
      </w:r>
    </w:p>
    <w:p w:rsidR="004802D9" w:rsidRPr="00062D97" w:rsidRDefault="004802D9" w:rsidP="004802D9">
      <w:pPr>
        <w:pStyle w:val="Felsorols1"/>
        <w:rPr>
          <w:sz w:val="24"/>
          <w:szCs w:val="24"/>
        </w:rPr>
      </w:pPr>
      <w:r w:rsidRPr="00062D97">
        <w:rPr>
          <w:sz w:val="24"/>
          <w:szCs w:val="24"/>
        </w:rPr>
        <w:t xml:space="preserve">A beszerző megnevezése és címe: </w:t>
      </w:r>
    </w:p>
    <w:p w:rsidR="007F31F6" w:rsidRPr="00191A9D" w:rsidRDefault="007F31F6" w:rsidP="00091340">
      <w:pPr>
        <w:jc w:val="both"/>
        <w:rPr>
          <w:bCs/>
        </w:rPr>
      </w:pPr>
      <w:r w:rsidRPr="00191A9D">
        <w:rPr>
          <w:bCs/>
        </w:rPr>
        <w:t>Nyíradonyi Vagyonkezelő, Kereskedelmi és Szolgáltató Korlátolt Felelősségű Társaság</w:t>
      </w:r>
      <w:r w:rsidRPr="00191A9D">
        <w:t> </w:t>
      </w:r>
    </w:p>
    <w:p w:rsidR="004802D9" w:rsidRPr="00062D97" w:rsidRDefault="004802D9" w:rsidP="00091340">
      <w:pPr>
        <w:pStyle w:val="Felsorols1"/>
        <w:rPr>
          <w:sz w:val="24"/>
          <w:szCs w:val="24"/>
        </w:rPr>
      </w:pPr>
      <w:r w:rsidRPr="00062D97">
        <w:rPr>
          <w:sz w:val="24"/>
          <w:szCs w:val="24"/>
        </w:rPr>
        <w:t>(</w:t>
      </w:r>
      <w:r w:rsidR="00091340">
        <w:rPr>
          <w:sz w:val="24"/>
          <w:szCs w:val="24"/>
        </w:rPr>
        <w:t>4254 Nyíradony, Hunyadi u. 1</w:t>
      </w:r>
      <w:r w:rsidRPr="00062D97">
        <w:rPr>
          <w:sz w:val="24"/>
          <w:szCs w:val="24"/>
        </w:rPr>
        <w:t>)</w:t>
      </w:r>
    </w:p>
    <w:p w:rsidR="004802D9" w:rsidRPr="00062D97" w:rsidRDefault="004802D9" w:rsidP="004802D9">
      <w:pPr>
        <w:pStyle w:val="Felsorols1"/>
        <w:rPr>
          <w:sz w:val="24"/>
          <w:szCs w:val="24"/>
        </w:rPr>
      </w:pPr>
      <w:r w:rsidRPr="00062D97">
        <w:rPr>
          <w:sz w:val="24"/>
          <w:szCs w:val="24"/>
        </w:rPr>
        <w:t xml:space="preserve">A beszerzés lebonyolításával megbízott szerv megnevezése és címe: </w:t>
      </w:r>
    </w:p>
    <w:p w:rsidR="004802D9" w:rsidRPr="00062D97" w:rsidRDefault="00091340" w:rsidP="00091340">
      <w:pPr>
        <w:pStyle w:val="Felsorols1"/>
        <w:rPr>
          <w:sz w:val="24"/>
          <w:szCs w:val="24"/>
        </w:rPr>
      </w:pPr>
      <w:r w:rsidRPr="00091340">
        <w:rPr>
          <w:sz w:val="24"/>
          <w:szCs w:val="24"/>
        </w:rPr>
        <w:t>Nyíradonyi Vagyonkezelő, Kereskedelmi és Szolgáltató Korlátolt Felelősségű Társaság</w:t>
      </w:r>
      <w:r w:rsidR="004802D9" w:rsidRPr="00062D97">
        <w:rPr>
          <w:sz w:val="24"/>
          <w:szCs w:val="24"/>
        </w:rPr>
        <w:t>; Közbeszerzési Osztály</w:t>
      </w:r>
      <w:r>
        <w:rPr>
          <w:sz w:val="24"/>
          <w:szCs w:val="24"/>
        </w:rPr>
        <w:t xml:space="preserve"> </w:t>
      </w:r>
      <w:r w:rsidR="004802D9" w:rsidRPr="00062D97">
        <w:rPr>
          <w:sz w:val="24"/>
          <w:szCs w:val="24"/>
        </w:rPr>
        <w:t>(</w:t>
      </w:r>
      <w:r>
        <w:rPr>
          <w:sz w:val="24"/>
          <w:szCs w:val="24"/>
        </w:rPr>
        <w:t>4254 Nyíradony, Hunyadi u. 1</w:t>
      </w:r>
      <w:r w:rsidR="004802D9" w:rsidRPr="00062D97">
        <w:rPr>
          <w:sz w:val="24"/>
          <w:szCs w:val="24"/>
        </w:rPr>
        <w:t>)</w:t>
      </w:r>
    </w:p>
    <w:p w:rsidR="004802D9" w:rsidRPr="00062D97" w:rsidRDefault="004802D9" w:rsidP="004802D9">
      <w:pPr>
        <w:pStyle w:val="Felsorols1"/>
        <w:ind w:firstLine="708"/>
        <w:rPr>
          <w:sz w:val="24"/>
          <w:szCs w:val="24"/>
        </w:rPr>
      </w:pPr>
    </w:p>
    <w:p w:rsidR="004802D9" w:rsidRPr="00062D97" w:rsidRDefault="004802D9" w:rsidP="004802D9">
      <w:pPr>
        <w:rPr>
          <w:b/>
        </w:rPr>
      </w:pPr>
      <w:r w:rsidRPr="00062D97">
        <w:rPr>
          <w:b/>
        </w:rPr>
        <w:t>2. Műszaki adatok:</w:t>
      </w:r>
    </w:p>
    <w:p w:rsidR="004802D9" w:rsidRPr="00062D97" w:rsidRDefault="004802D9" w:rsidP="004802D9">
      <w:pPr>
        <w:rPr>
          <w:rFonts w:eastAsia="Calibri"/>
          <w:lang w:eastAsia="en-US"/>
        </w:rPr>
      </w:pPr>
      <w:r w:rsidRPr="00062D97">
        <w:rPr>
          <w:kern w:val="28"/>
        </w:rPr>
        <w:t xml:space="preserve">  </w:t>
      </w:r>
      <w:r w:rsidRPr="00062D97">
        <w:t xml:space="preserve">A beszerzés </w:t>
      </w:r>
    </w:p>
    <w:p w:rsidR="004802D9" w:rsidRPr="00062D97" w:rsidRDefault="004802D9" w:rsidP="004802D9">
      <w:pPr>
        <w:jc w:val="both"/>
      </w:pPr>
      <w:r w:rsidRPr="00062D97">
        <w:t xml:space="preserve">- </w:t>
      </w:r>
      <w:r w:rsidRPr="00062D97">
        <w:rPr>
          <w:b/>
        </w:rPr>
        <w:t>megnevezése:</w:t>
      </w:r>
      <w:r w:rsidRPr="00062D97">
        <w:t xml:space="preserve"> </w:t>
      </w:r>
      <w:r w:rsidR="00091340" w:rsidRPr="00091340">
        <w:t>TOP-1.1.1-15_HB1-2016-00017 azonosítószámú projekthez kapcsolódó infrastruktúra fejlesztése - elektromos hálózati rendszer megvalósítás</w:t>
      </w:r>
      <w:r w:rsidR="00091340">
        <w:t>a</w:t>
      </w:r>
      <w:r w:rsidRPr="00062D97">
        <w:t xml:space="preserve">. </w:t>
      </w:r>
    </w:p>
    <w:p w:rsidR="004802D9" w:rsidRPr="00062D97" w:rsidRDefault="004802D9" w:rsidP="004802D9">
      <w:pPr>
        <w:jc w:val="both"/>
      </w:pPr>
      <w:r w:rsidRPr="00062D97">
        <w:t xml:space="preserve">  - </w:t>
      </w:r>
      <w:r w:rsidRPr="00062D97">
        <w:rPr>
          <w:b/>
        </w:rPr>
        <w:t>helye:</w:t>
      </w:r>
      <w:r w:rsidRPr="00062D97">
        <w:t xml:space="preserve"> </w:t>
      </w:r>
    </w:p>
    <w:p w:rsidR="004802D9" w:rsidRPr="00062D97" w:rsidRDefault="004802D9" w:rsidP="004802D9">
      <w:pPr>
        <w:tabs>
          <w:tab w:val="left" w:pos="3119"/>
        </w:tabs>
        <w:spacing w:after="160"/>
        <w:ind w:left="3119" w:hanging="3119"/>
        <w:contextualSpacing/>
        <w:rPr>
          <w:rFonts w:eastAsia="Calibri"/>
          <w:lang w:eastAsia="en-US"/>
        </w:rPr>
      </w:pPr>
      <w:r w:rsidRPr="00062D97">
        <w:rPr>
          <w:rFonts w:eastAsia="Calibri"/>
          <w:lang w:eastAsia="en-US"/>
        </w:rPr>
        <w:t xml:space="preserve">  </w:t>
      </w:r>
      <w:r w:rsidR="00091340">
        <w:rPr>
          <w:rFonts w:eastAsia="Calibri"/>
          <w:lang w:eastAsia="en-US"/>
        </w:rPr>
        <w:t>Nyíradony</w:t>
      </w:r>
      <w:r w:rsidRPr="00062D97">
        <w:rPr>
          <w:rFonts w:eastAsia="Calibri"/>
          <w:lang w:eastAsia="en-US"/>
        </w:rPr>
        <w:t xml:space="preserve">, </w:t>
      </w:r>
      <w:r w:rsidR="00091340">
        <w:rPr>
          <w:rFonts w:eastAsia="Calibri"/>
          <w:lang w:eastAsia="en-US"/>
        </w:rPr>
        <w:t>0317/23, 0317/11, 05/71, 05/5, 05/58, 0317/6, 05/70</w:t>
      </w:r>
      <w:r w:rsidRPr="00062D97">
        <w:rPr>
          <w:rFonts w:eastAsia="Calibri"/>
          <w:lang w:eastAsia="en-US"/>
        </w:rPr>
        <w:t xml:space="preserve"> hrsz-ú területek</w:t>
      </w:r>
    </w:p>
    <w:p w:rsidR="004802D9" w:rsidRPr="00062D97" w:rsidRDefault="004802D9" w:rsidP="004802D9">
      <w:pPr>
        <w:tabs>
          <w:tab w:val="left" w:pos="3119"/>
        </w:tabs>
        <w:spacing w:after="160"/>
        <w:contextualSpacing/>
      </w:pPr>
      <w:r w:rsidRPr="00062D97">
        <w:t xml:space="preserve">- </w:t>
      </w:r>
      <w:r w:rsidRPr="00062D97">
        <w:rPr>
          <w:b/>
        </w:rPr>
        <w:t>jellege:</w:t>
      </w:r>
      <w:r w:rsidRPr="00062D97">
        <w:t xml:space="preserve"> szolgáltatás</w:t>
      </w:r>
    </w:p>
    <w:p w:rsidR="004802D9" w:rsidRPr="00062D97" w:rsidRDefault="004802D9" w:rsidP="004802D9">
      <w:pPr>
        <w:tabs>
          <w:tab w:val="left" w:pos="3119"/>
        </w:tabs>
        <w:spacing w:after="160"/>
        <w:ind w:left="3119" w:hanging="3119"/>
        <w:contextualSpacing/>
      </w:pPr>
      <w:r w:rsidRPr="00062D97">
        <w:rPr>
          <w:b/>
        </w:rPr>
        <w:t>- célja:</w:t>
      </w:r>
      <w:r w:rsidRPr="00062D97">
        <w:t xml:space="preserve"> </w:t>
      </w:r>
      <w:r w:rsidR="00091340">
        <w:t>Nyíradony Ipari Park</w:t>
      </w:r>
      <w:r w:rsidRPr="00062D97">
        <w:t xml:space="preserve"> elektromos ellátásának biztosítása. </w:t>
      </w:r>
    </w:p>
    <w:p w:rsidR="004802D9" w:rsidRPr="00062D97" w:rsidRDefault="004802D9" w:rsidP="004802D9">
      <w:pPr>
        <w:tabs>
          <w:tab w:val="left" w:pos="3119"/>
        </w:tabs>
        <w:spacing w:after="160"/>
        <w:ind w:left="3119" w:hanging="3119"/>
        <w:contextualSpacing/>
        <w:rPr>
          <w:b/>
        </w:rPr>
      </w:pPr>
      <w:r w:rsidRPr="00062D97">
        <w:rPr>
          <w:b/>
        </w:rPr>
        <w:t>- mennyisége:</w:t>
      </w:r>
    </w:p>
    <w:p w:rsidR="004802D9" w:rsidRPr="00062D97" w:rsidRDefault="004802D9" w:rsidP="004802D9">
      <w:pPr>
        <w:tabs>
          <w:tab w:val="left" w:pos="3119"/>
        </w:tabs>
        <w:spacing w:after="160"/>
        <w:ind w:left="3119" w:hanging="3119"/>
        <w:contextualSpacing/>
      </w:pPr>
      <w:r w:rsidRPr="00062D97">
        <w:rPr>
          <w:b/>
        </w:rPr>
        <w:t>Rövid szakmai leírás</w:t>
      </w:r>
      <w:r w:rsidRPr="00062D97">
        <w:t>:</w:t>
      </w:r>
    </w:p>
    <w:p w:rsidR="004802D9" w:rsidRPr="00062D97" w:rsidRDefault="004802D9" w:rsidP="004802D9">
      <w:pPr>
        <w:pStyle w:val="Cmsor1"/>
        <w:spacing w:after="240"/>
        <w:ind w:left="432" w:hanging="432"/>
        <w:rPr>
          <w:b w:val="0"/>
          <w:sz w:val="24"/>
          <w:szCs w:val="24"/>
        </w:rPr>
      </w:pPr>
      <w:r w:rsidRPr="00062D97">
        <w:rPr>
          <w:b w:val="0"/>
          <w:sz w:val="24"/>
          <w:szCs w:val="24"/>
        </w:rPr>
        <w:t>CSATLAKOZÁS:</w:t>
      </w:r>
    </w:p>
    <w:p w:rsidR="004802D9" w:rsidRPr="00062D97" w:rsidRDefault="004802D9" w:rsidP="004802D9">
      <w:pPr>
        <w:pStyle w:val="Felsorols2"/>
        <w:numPr>
          <w:ilvl w:val="0"/>
          <w:numId w:val="0"/>
        </w:numPr>
        <w:ind w:left="851" w:hanging="851"/>
        <w:rPr>
          <w:lang w:val="hu-HU"/>
        </w:rPr>
      </w:pPr>
      <w:r w:rsidRPr="00062D97">
        <w:rPr>
          <w:lang w:val="hu-HU"/>
        </w:rPr>
        <w:t>Csatlakozás feszültségszintje: 132 kV (nagyfeszültség) és 22 kV (középfeszültség)</w:t>
      </w:r>
    </w:p>
    <w:p w:rsidR="004802D9" w:rsidRPr="0039097B" w:rsidRDefault="004802D9" w:rsidP="0039097B">
      <w:pPr>
        <w:pStyle w:val="Cmsor1"/>
        <w:spacing w:after="240"/>
        <w:ind w:left="432" w:hanging="432"/>
        <w:rPr>
          <w:b w:val="0"/>
          <w:sz w:val="24"/>
          <w:szCs w:val="24"/>
        </w:rPr>
      </w:pPr>
      <w:r w:rsidRPr="00062D97">
        <w:rPr>
          <w:b w:val="0"/>
          <w:sz w:val="24"/>
          <w:szCs w:val="24"/>
        </w:rPr>
        <w:t>CSATLAKOZÓ BERENDEZÉS:</w:t>
      </w:r>
    </w:p>
    <w:p w:rsidR="0039097B" w:rsidRPr="0039097B" w:rsidRDefault="0039097B" w:rsidP="0039097B">
      <w:pPr>
        <w:pStyle w:val="Cmsor1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39097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Az „A” jelű tervezett transzformátor állomás és környezetében:</w:t>
      </w:r>
    </w:p>
    <w:p w:rsidR="0039097B" w:rsidRPr="00CD5827" w:rsidRDefault="0039097B" w:rsidP="0039097B">
      <w:pPr>
        <w:jc w:val="both"/>
        <w:rPr>
          <w:lang w:eastAsia="zh-CN"/>
        </w:rPr>
      </w:pPr>
      <w:r w:rsidRPr="00CD5827">
        <w:t>- csatlakozási és egyben hálózati leágazási pont (tulajdonjogi határ) az egyeztetett jelenlegi       feltételekkel a jelentkező rendszerhasználóknak egyenként: a transzformátor állomás 0,4 kV-os elosztója</w:t>
      </w:r>
    </w:p>
    <w:p w:rsidR="0039097B" w:rsidRPr="00CD5827" w:rsidRDefault="0039097B" w:rsidP="0039097B">
      <w:pPr>
        <w:keepNext/>
        <w:spacing w:line="276" w:lineRule="auto"/>
        <w:jc w:val="both"/>
      </w:pPr>
      <w:r w:rsidRPr="00CD5827">
        <w:t>- csatlakozás módja: KÖF/KIF transzformátor állomásból közvetlenül rendszerhasználói méretlen földkábellel</w:t>
      </w:r>
    </w:p>
    <w:p w:rsidR="0039097B" w:rsidRPr="00CD5827" w:rsidRDefault="0039097B" w:rsidP="0039097B">
      <w:pPr>
        <w:keepNext/>
        <w:tabs>
          <w:tab w:val="right" w:pos="6237"/>
        </w:tabs>
      </w:pPr>
      <w:r w:rsidRPr="00CD5827">
        <w:t>- feszültségszint: kisfeszültség 3×230/400 V</w:t>
      </w:r>
    </w:p>
    <w:p w:rsidR="0039097B" w:rsidRPr="00CD5827" w:rsidRDefault="0039097B" w:rsidP="0039097B">
      <w:pPr>
        <w:keepNext/>
        <w:tabs>
          <w:tab w:val="right" w:pos="6237"/>
        </w:tabs>
      </w:pPr>
      <w:r w:rsidRPr="00CD5827">
        <w:rPr>
          <w:lang w:eastAsia="zh-CN"/>
        </w:rPr>
        <w:t xml:space="preserve">- </w:t>
      </w:r>
      <w:r w:rsidRPr="00CD5827">
        <w:rPr>
          <w:kern w:val="28"/>
        </w:rPr>
        <w:t xml:space="preserve">Igényelt rendelkezésre álló teljesítmény (itt mindösszesen): </w:t>
      </w:r>
      <w:r w:rsidRPr="00CD5827">
        <w:rPr>
          <w:b/>
          <w:kern w:val="28"/>
        </w:rPr>
        <w:t xml:space="preserve">533,33 </w:t>
      </w:r>
      <w:proofErr w:type="spellStart"/>
      <w:r w:rsidRPr="00CD5827">
        <w:rPr>
          <w:b/>
          <w:kern w:val="28"/>
        </w:rPr>
        <w:t>kVA</w:t>
      </w:r>
      <w:proofErr w:type="spellEnd"/>
      <w:r w:rsidRPr="00CD5827">
        <w:rPr>
          <w:kern w:val="28"/>
        </w:rPr>
        <w:t xml:space="preserve"> (3 ×770</w:t>
      </w:r>
      <w:r w:rsidRPr="00CD5827">
        <w:t xml:space="preserve">A) </w:t>
      </w:r>
    </w:p>
    <w:p w:rsidR="0039097B" w:rsidRPr="00CD5827" w:rsidRDefault="0039097B" w:rsidP="0039097B">
      <w:pPr>
        <w:keepNext/>
        <w:tabs>
          <w:tab w:val="right" w:pos="6237"/>
        </w:tabs>
        <w:rPr>
          <w:kern w:val="28"/>
        </w:rPr>
      </w:pPr>
      <w:r w:rsidRPr="00CD5827">
        <w:t>- mérés elhelyezése: a transzformátor állomás közvetlen közelében</w:t>
      </w:r>
    </w:p>
    <w:p w:rsidR="0039097B" w:rsidRPr="00CD5827" w:rsidRDefault="0039097B" w:rsidP="0039097B">
      <w:pPr>
        <w:tabs>
          <w:tab w:val="right" w:pos="6237"/>
        </w:tabs>
      </w:pPr>
    </w:p>
    <w:p w:rsidR="0039097B" w:rsidRPr="0039097B" w:rsidRDefault="0039097B" w:rsidP="0039097B">
      <w:pPr>
        <w:pStyle w:val="Cmsor1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39097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 „B” jelű tervezett transzformátor állomás és környezetében:</w:t>
      </w:r>
    </w:p>
    <w:p w:rsidR="0039097B" w:rsidRPr="00CD5827" w:rsidRDefault="0039097B" w:rsidP="0039097B">
      <w:pPr>
        <w:jc w:val="both"/>
        <w:rPr>
          <w:lang w:eastAsia="zh-CN"/>
        </w:rPr>
      </w:pPr>
      <w:r w:rsidRPr="00CD5827">
        <w:t>- csatlakozási és egyben hálózati leágazási pont (tulajdonjogi határ) az egyeztetett jelenlegi feltételekkel a jelentkező rendszerhasználóknak egyenként: a transzformátor állomás 0,4 kV-os elosztója</w:t>
      </w:r>
    </w:p>
    <w:p w:rsidR="0039097B" w:rsidRPr="00CD5827" w:rsidRDefault="0039097B" w:rsidP="0039097B">
      <w:pPr>
        <w:keepNext/>
        <w:spacing w:line="276" w:lineRule="auto"/>
        <w:jc w:val="both"/>
      </w:pPr>
      <w:r w:rsidRPr="00CD5827">
        <w:lastRenderedPageBreak/>
        <w:t>- csatlakozás módja: KÖF/KIF transzformátor állomásból közvetlenül rendszerhasználói méretlen földkábellel</w:t>
      </w:r>
    </w:p>
    <w:p w:rsidR="0039097B" w:rsidRPr="00CD5827" w:rsidRDefault="0039097B" w:rsidP="0039097B">
      <w:pPr>
        <w:keepNext/>
        <w:tabs>
          <w:tab w:val="right" w:pos="6237"/>
        </w:tabs>
      </w:pPr>
      <w:r w:rsidRPr="00CD5827">
        <w:t>- feszültségszint: kisfeszültség 3×230/400 V</w:t>
      </w:r>
    </w:p>
    <w:p w:rsidR="0039097B" w:rsidRPr="00CD5827" w:rsidRDefault="0039097B" w:rsidP="0039097B">
      <w:pPr>
        <w:keepNext/>
        <w:tabs>
          <w:tab w:val="right" w:pos="6237"/>
        </w:tabs>
      </w:pPr>
      <w:r w:rsidRPr="00CD5827">
        <w:rPr>
          <w:lang w:eastAsia="zh-CN"/>
        </w:rPr>
        <w:t xml:space="preserve">- </w:t>
      </w:r>
      <w:r w:rsidRPr="00CD5827">
        <w:rPr>
          <w:kern w:val="28"/>
        </w:rPr>
        <w:t xml:space="preserve">Igényelt rendelkezésre álló teljesítmény (itt mindösszesen): </w:t>
      </w:r>
      <w:r w:rsidRPr="00CD5827">
        <w:rPr>
          <w:b/>
          <w:kern w:val="28"/>
        </w:rPr>
        <w:t xml:space="preserve">533,33 </w:t>
      </w:r>
      <w:proofErr w:type="spellStart"/>
      <w:r w:rsidRPr="00CD5827">
        <w:rPr>
          <w:b/>
          <w:kern w:val="28"/>
        </w:rPr>
        <w:t>kVA</w:t>
      </w:r>
      <w:proofErr w:type="spellEnd"/>
      <w:r w:rsidRPr="00CD5827">
        <w:rPr>
          <w:kern w:val="28"/>
        </w:rPr>
        <w:t xml:space="preserve"> (3 ×770</w:t>
      </w:r>
      <w:r w:rsidRPr="00CD5827">
        <w:t xml:space="preserve">A) </w:t>
      </w:r>
    </w:p>
    <w:p w:rsidR="0039097B" w:rsidRPr="00CD5827" w:rsidRDefault="0039097B" w:rsidP="0039097B">
      <w:pPr>
        <w:keepNext/>
        <w:tabs>
          <w:tab w:val="right" w:pos="6237"/>
        </w:tabs>
        <w:rPr>
          <w:kern w:val="28"/>
        </w:rPr>
      </w:pPr>
      <w:r w:rsidRPr="00CD5827">
        <w:t>- mérés elhelyezése: a transzformátor állomás közvetlen közelében</w:t>
      </w:r>
    </w:p>
    <w:p w:rsidR="0039097B" w:rsidRPr="00CD5827" w:rsidRDefault="0039097B" w:rsidP="0039097B">
      <w:pPr>
        <w:keepNext/>
        <w:tabs>
          <w:tab w:val="right" w:pos="6237"/>
        </w:tabs>
        <w:rPr>
          <w:kern w:val="28"/>
        </w:rPr>
      </w:pPr>
    </w:p>
    <w:p w:rsidR="0039097B" w:rsidRPr="0039097B" w:rsidRDefault="0039097B" w:rsidP="0039097B">
      <w:pPr>
        <w:pStyle w:val="Cmsor1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39097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 „C” jelű tervezett transzformátor állomás és környezetében:</w:t>
      </w:r>
    </w:p>
    <w:p w:rsidR="0039097B" w:rsidRPr="00CD5827" w:rsidRDefault="0039097B" w:rsidP="0039097B">
      <w:pPr>
        <w:jc w:val="both"/>
        <w:rPr>
          <w:lang w:eastAsia="zh-CN"/>
        </w:rPr>
      </w:pPr>
      <w:r w:rsidRPr="00CD5827">
        <w:t>- csatlakozási és egyben hálózati leágazási pont (tulajdonjogi határ) az egyeztetett jelenlegi feltételekkel a jelentkező rendszerhasználóknak egyenként: a transzformátor állomás 0,4 kV-os elosztója</w:t>
      </w:r>
    </w:p>
    <w:p w:rsidR="0039097B" w:rsidRPr="00CD5827" w:rsidRDefault="0039097B" w:rsidP="0039097B">
      <w:pPr>
        <w:keepNext/>
        <w:spacing w:line="276" w:lineRule="auto"/>
        <w:jc w:val="both"/>
      </w:pPr>
      <w:r w:rsidRPr="00CD5827">
        <w:t>- csatlakozás módja: KÖF/KIF transzformátor állomásból közvetlenül rendszerhasználói méretlen földkábellel</w:t>
      </w:r>
    </w:p>
    <w:p w:rsidR="0039097B" w:rsidRPr="00CD5827" w:rsidRDefault="0039097B" w:rsidP="0039097B">
      <w:pPr>
        <w:keepNext/>
        <w:tabs>
          <w:tab w:val="right" w:pos="6237"/>
        </w:tabs>
      </w:pPr>
      <w:r w:rsidRPr="00CD5827">
        <w:t>- feszültségszint: kisfeszültség 3×230/400 V</w:t>
      </w:r>
    </w:p>
    <w:p w:rsidR="0039097B" w:rsidRPr="00CD5827" w:rsidRDefault="0039097B" w:rsidP="0039097B">
      <w:pPr>
        <w:keepNext/>
        <w:tabs>
          <w:tab w:val="right" w:pos="6237"/>
        </w:tabs>
      </w:pPr>
      <w:r w:rsidRPr="00CD5827">
        <w:rPr>
          <w:lang w:eastAsia="zh-CN"/>
        </w:rPr>
        <w:t xml:space="preserve">- </w:t>
      </w:r>
      <w:r w:rsidRPr="00CD5827">
        <w:rPr>
          <w:kern w:val="28"/>
        </w:rPr>
        <w:t xml:space="preserve">Igényelt rendelkezésre álló teljesítmény (itt mindösszesen): </w:t>
      </w:r>
      <w:r w:rsidRPr="00CD5827">
        <w:rPr>
          <w:b/>
          <w:kern w:val="28"/>
        </w:rPr>
        <w:t xml:space="preserve">533,33 </w:t>
      </w:r>
      <w:proofErr w:type="spellStart"/>
      <w:r w:rsidRPr="00CD5827">
        <w:rPr>
          <w:b/>
          <w:kern w:val="28"/>
        </w:rPr>
        <w:t>kVA</w:t>
      </w:r>
      <w:proofErr w:type="spellEnd"/>
      <w:r w:rsidRPr="00CD5827">
        <w:rPr>
          <w:kern w:val="28"/>
        </w:rPr>
        <w:t xml:space="preserve"> (3 ×770</w:t>
      </w:r>
      <w:r w:rsidRPr="00CD5827">
        <w:t xml:space="preserve">A) </w:t>
      </w:r>
    </w:p>
    <w:p w:rsidR="0039097B" w:rsidRPr="00CD5827" w:rsidRDefault="0039097B" w:rsidP="0039097B">
      <w:pPr>
        <w:keepNext/>
        <w:tabs>
          <w:tab w:val="right" w:pos="6237"/>
        </w:tabs>
        <w:rPr>
          <w:kern w:val="28"/>
        </w:rPr>
      </w:pPr>
      <w:r w:rsidRPr="00CD5827">
        <w:t>- mérés elhelyezése: a transzformátor állomás közvetlen közelében</w:t>
      </w:r>
    </w:p>
    <w:p w:rsidR="0039097B" w:rsidRPr="00062D97" w:rsidRDefault="0039097B" w:rsidP="004802D9">
      <w:pPr>
        <w:pStyle w:val="Szvegtrzs"/>
        <w:rPr>
          <w:rFonts w:ascii="Times New Roman" w:hAnsi="Times New Roman"/>
          <w:b/>
          <w:sz w:val="24"/>
          <w:szCs w:val="24"/>
        </w:rPr>
      </w:pPr>
    </w:p>
    <w:p w:rsidR="004802D9" w:rsidRPr="00062D97" w:rsidRDefault="004802D9" w:rsidP="004802D9">
      <w:pPr>
        <w:pStyle w:val="Cmsor1"/>
        <w:spacing w:after="240"/>
        <w:ind w:left="432" w:hanging="432"/>
        <w:rPr>
          <w:b w:val="0"/>
          <w:sz w:val="24"/>
          <w:szCs w:val="24"/>
        </w:rPr>
      </w:pPr>
      <w:r w:rsidRPr="00062D97">
        <w:rPr>
          <w:b w:val="0"/>
          <w:sz w:val="24"/>
          <w:szCs w:val="24"/>
        </w:rPr>
        <w:t>ELOSZTÓI SZOLGÁLTATÁS MŰSZAKI ÉS MINŐSÉGI JELLEMZŐI:</w:t>
      </w:r>
    </w:p>
    <w:p w:rsidR="004802D9" w:rsidRPr="00062D97" w:rsidRDefault="004802D9" w:rsidP="004802D9">
      <w:pPr>
        <w:pStyle w:val="Szvegtrzs"/>
        <w:rPr>
          <w:rFonts w:ascii="Times New Roman" w:hAnsi="Times New Roman"/>
          <w:sz w:val="24"/>
          <w:szCs w:val="24"/>
        </w:rPr>
      </w:pPr>
      <w:r w:rsidRPr="00062D97">
        <w:rPr>
          <w:rFonts w:ascii="Times New Roman" w:hAnsi="Times New Roman"/>
          <w:sz w:val="24"/>
          <w:szCs w:val="24"/>
        </w:rPr>
        <w:t>Áramrendszer (fázisszám): 3</w:t>
      </w:r>
    </w:p>
    <w:p w:rsidR="00DE4D82" w:rsidRPr="00CD5827" w:rsidRDefault="00DE4D82" w:rsidP="00DE4D82">
      <w:pPr>
        <w:keepNext/>
      </w:pPr>
      <w:r>
        <w:t>A</w:t>
      </w:r>
      <w:r w:rsidRPr="00CD5827">
        <w:t xml:space="preserve"> szolgáltatás névleges feszültsége: 0,4 kV</w:t>
      </w:r>
    </w:p>
    <w:p w:rsidR="00DE4D82" w:rsidRPr="00CD5827" w:rsidRDefault="00DE4D82" w:rsidP="00DE4D82">
      <w:pPr>
        <w:keepNext/>
      </w:pPr>
      <w:r>
        <w:t>N</w:t>
      </w:r>
      <w:r w:rsidRPr="00CD5827">
        <w:t xml:space="preserve">évleges frekvencia: 50 Hz </w:t>
      </w:r>
      <w:r w:rsidRPr="00CD5827">
        <w:sym w:font="Times New Roman" w:char="00B1"/>
      </w:r>
      <w:r w:rsidRPr="00CD5827">
        <w:t xml:space="preserve"> 2 %</w:t>
      </w:r>
    </w:p>
    <w:p w:rsidR="00755CAF" w:rsidRDefault="00DE4D82" w:rsidP="00DE4D82">
      <w:pPr>
        <w:keepNext/>
      </w:pPr>
      <w:r>
        <w:t>É</w:t>
      </w:r>
      <w:r w:rsidRPr="00CD5827">
        <w:t>rintésvédelem módja: TN-C</w:t>
      </w:r>
    </w:p>
    <w:p w:rsidR="00755CAF" w:rsidRPr="00CD5827" w:rsidRDefault="00755CAF" w:rsidP="00DE4D82">
      <w:pPr>
        <w:keepNext/>
      </w:pPr>
    </w:p>
    <w:p w:rsidR="004802D9" w:rsidRPr="00062D97" w:rsidRDefault="004802D9" w:rsidP="004802D9">
      <w:pPr>
        <w:pStyle w:val="Cmsor2"/>
        <w:spacing w:after="240"/>
        <w:rPr>
          <w:rFonts w:ascii="Times New Roman" w:hAnsi="Times New Roman"/>
          <w:sz w:val="24"/>
        </w:rPr>
      </w:pPr>
    </w:p>
    <w:p w:rsidR="004802D9" w:rsidRPr="00DE4D82" w:rsidRDefault="004802D9" w:rsidP="00DE4D82">
      <w:pPr>
        <w:pStyle w:val="Cmsor2"/>
        <w:spacing w:after="240"/>
        <w:rPr>
          <w:rFonts w:ascii="Times New Roman" w:hAnsi="Times New Roman"/>
          <w:sz w:val="24"/>
        </w:rPr>
      </w:pPr>
      <w:r w:rsidRPr="00062D97">
        <w:rPr>
          <w:rFonts w:ascii="Times New Roman" w:hAnsi="Times New Roman"/>
          <w:sz w:val="24"/>
        </w:rPr>
        <w:t>Műszaki</w:t>
      </w:r>
      <w:r w:rsidR="00DE4D82">
        <w:rPr>
          <w:rFonts w:ascii="Times New Roman" w:hAnsi="Times New Roman"/>
          <w:sz w:val="24"/>
        </w:rPr>
        <w:t>,</w:t>
      </w:r>
      <w:r w:rsidRPr="00062D97">
        <w:rPr>
          <w:rFonts w:ascii="Times New Roman" w:hAnsi="Times New Roman"/>
          <w:sz w:val="24"/>
        </w:rPr>
        <w:t xml:space="preserve"> </w:t>
      </w:r>
      <w:r w:rsidR="00DE4D82">
        <w:rPr>
          <w:rFonts w:ascii="Times New Roman" w:hAnsi="Times New Roman"/>
          <w:sz w:val="24"/>
        </w:rPr>
        <w:t xml:space="preserve">gazdasági </w:t>
      </w:r>
      <w:r w:rsidRPr="00062D97">
        <w:rPr>
          <w:rFonts w:ascii="Times New Roman" w:hAnsi="Times New Roman"/>
          <w:sz w:val="24"/>
        </w:rPr>
        <w:t>feltételek:</w:t>
      </w:r>
    </w:p>
    <w:p w:rsidR="00DE4D82" w:rsidRPr="00CD5827" w:rsidRDefault="00DE4D82" w:rsidP="00DE4D82">
      <w:pPr>
        <w:spacing w:before="120" w:after="60" w:line="360" w:lineRule="atLeast"/>
        <w:jc w:val="both"/>
        <w:outlineLvl w:val="0"/>
      </w:pPr>
      <w:r w:rsidRPr="00CD5827">
        <w:t xml:space="preserve">A tervezett A, a B és a C jelű felhasználási helyek mellett közterületen vagy onnan a nap bármely időszakában jól megközelíthető és kezelhető módon három új, közcélú 22/1000 típusú kompakt transzformátor állomást kell építeni. A kompakt transzformátorállomásokat egy-egy 1.000 </w:t>
      </w:r>
      <w:proofErr w:type="spellStart"/>
      <w:r w:rsidRPr="00CD5827">
        <w:t>kVA</w:t>
      </w:r>
      <w:proofErr w:type="spellEnd"/>
      <w:r w:rsidRPr="00CD5827">
        <w:t xml:space="preserve"> teljesítményű transzformátor géppel és közcélú KKT körhálózati középfeszültségű kapcsoló berendezéssel kell szerelni. Ezeknek a kapcsoló berendezéseknek K-K leágazásába az érkező és induló közcélú 22 kV-os földkábeleket kell bekötni. A transzformátorállomások kisfeszültségű elosztóteréből a közelében jelentkező rendszerhasználóknak KÖF/KIF közvetlen csatlakozással tudjuk biztosítani a villamosenergia ellátást, melyeket szükség szerinti igényelt teljesítmény alapján függőleges elrendezésű NH III 630 A </w:t>
      </w:r>
      <w:proofErr w:type="spellStart"/>
      <w:r w:rsidRPr="00CD5827">
        <w:t>ikresítős</w:t>
      </w:r>
      <w:proofErr w:type="spellEnd"/>
      <w:r w:rsidRPr="00CD5827">
        <w:t xml:space="preserve"> függőleges szakaszolható aljzatról kell indítani megfelelően méretezett olvadó betétekkel. </w:t>
      </w:r>
    </w:p>
    <w:p w:rsidR="00DE4D82" w:rsidRPr="00CD5827" w:rsidRDefault="00DE4D82" w:rsidP="00DE4D82">
      <w:pPr>
        <w:spacing w:before="120" w:after="60" w:line="360" w:lineRule="atLeast"/>
        <w:jc w:val="both"/>
        <w:outlineLvl w:val="0"/>
      </w:pPr>
      <w:r w:rsidRPr="00CD5827">
        <w:t>A három transzformátor állomást a következő módon kell megtáplálni 22 kV-</w:t>
      </w:r>
      <w:proofErr w:type="spellStart"/>
      <w:r w:rsidRPr="00CD5827">
        <w:t>on</w:t>
      </w:r>
      <w:proofErr w:type="spellEnd"/>
      <w:r w:rsidRPr="00CD5827">
        <w:t>:</w:t>
      </w:r>
    </w:p>
    <w:p w:rsidR="00DE4D82" w:rsidRPr="00CD5827" w:rsidRDefault="00DE4D82" w:rsidP="00DE4D82">
      <w:pPr>
        <w:spacing w:before="120" w:after="60" w:line="360" w:lineRule="atLeast"/>
        <w:jc w:val="both"/>
        <w:outlineLvl w:val="0"/>
      </w:pPr>
      <w:r w:rsidRPr="00CD5827">
        <w:t>Ki kell kötni a 62016 sz. Debreceni u. elnevezésű közcélú transzformátorállomásból a 83017 sz. távműködtetett oszlopkapcsoló (TMOK) felől érkező 22 kV-os földkábelt. A kikötött vezetéket meg kell toldani 3 × 1 × 150 mm</w:t>
      </w:r>
      <w:r w:rsidRPr="00CD5827">
        <w:rPr>
          <w:vertAlign w:val="superscript"/>
        </w:rPr>
        <w:t>2</w:t>
      </w:r>
      <w:r w:rsidRPr="00CD5827">
        <w:t xml:space="preserve"> keresztmetszetű NA2XS(f)2S típusú 22 kV-os közcélú földkábelvezetékkel kb. 400 m nyomvonalhosszon az egyik új, C jelű transzformátorig (a 6509 hrsz - tervezett északi bekötő út nyomvonalon). Innen új, közcélú 3 × 1 × 150 mm</w:t>
      </w:r>
      <w:r w:rsidRPr="00CD5827">
        <w:rPr>
          <w:vertAlign w:val="superscript"/>
        </w:rPr>
        <w:t>2</w:t>
      </w:r>
      <w:r w:rsidRPr="00CD5827">
        <w:t xml:space="preserve"> </w:t>
      </w:r>
      <w:r w:rsidRPr="00CD5827">
        <w:lastRenderedPageBreak/>
        <w:t>keresztmetszetű NA2XS(f)2S típusú 22 kV-os földkábelt kell építeni az új, C és B jelű transzformátorállomások között, kb. 300 m nyomvonalhosszon (az északi bekötő út - déli bekötő út - 6512 hrsz. nyomvonalon). Új, 3 × 1 × 150 mm</w:t>
      </w:r>
      <w:r w:rsidRPr="00CD5827">
        <w:rPr>
          <w:vertAlign w:val="superscript"/>
        </w:rPr>
        <w:t>2</w:t>
      </w:r>
      <w:r w:rsidRPr="00CD5827">
        <w:t xml:space="preserve"> keresztmetszetű NA2XS(f)2S típusú 22 kV-os földkábellel kell összekötni az új B és az új, A jelű transzformátorokat kb. 500 m nyomvonalhosszon (javasolt nyomvonal a déli bekötő út mellett halad a 05/71 hrsz-ig). Az új, A jelű transzformátortól kb. 800 m nyomvonalhosszon új, 3 × 1 × 150 mm</w:t>
      </w:r>
      <w:r w:rsidRPr="00CD5827">
        <w:rPr>
          <w:vertAlign w:val="superscript"/>
        </w:rPr>
        <w:t>2</w:t>
      </w:r>
      <w:r w:rsidRPr="00CD5827">
        <w:t xml:space="preserve"> keresztmetszetű NA2XS(f)2S típusú földkábelt kell építeni a 62016 sz. Debreceni u. elnevezésű transzformátorállomásig és ezt az új földkábelt be kell kötni a kikötött (a 83017 sz. TMOK felől érkező) földkábel helyére (a 05/71 hrsz. - déli bekötő út - 6509 hrsz. javasolt nyomvonalon).</w:t>
      </w:r>
    </w:p>
    <w:p w:rsidR="00DE4D82" w:rsidRPr="00CD5827" w:rsidRDefault="00DE4D82" w:rsidP="00DE4D82">
      <w:pPr>
        <w:spacing w:before="120" w:after="60" w:line="360" w:lineRule="atLeast"/>
        <w:jc w:val="both"/>
        <w:outlineLvl w:val="0"/>
      </w:pPr>
      <w:r w:rsidRPr="00CD5827">
        <w:t>A fenti beavatkozások elvégzését követően az igényelt teljesítmény a Nyíradony 132/22 kV-os alállomás 07 sz. leágazásából induló Nyíradony 1. és a 13 sz. Nyíradony 2. elnevezésű vezetékek alkotta vezetékgyűrűről biztosítható. A gyűrű üzemi bontáspontját át kell helyezni a 83017 sz. TMOK-</w:t>
      </w:r>
      <w:proofErr w:type="spellStart"/>
      <w:r w:rsidRPr="00CD5827">
        <w:t>tól</w:t>
      </w:r>
      <w:proofErr w:type="spellEnd"/>
      <w:r w:rsidRPr="00CD5827">
        <w:t xml:space="preserve"> az új, B jelű transzformátorállomásba (a C jelű transzformátor állomás felé menő földkábel terhelésszakaszolóját kell üzemszerűen nyitva tartani).</w:t>
      </w:r>
    </w:p>
    <w:p w:rsidR="00DE4D82" w:rsidRPr="00CD5827" w:rsidRDefault="00DE4D82" w:rsidP="00DE4D82">
      <w:pPr>
        <w:spacing w:after="100" w:afterAutospacing="1" w:line="360" w:lineRule="atLeast"/>
        <w:jc w:val="both"/>
        <w:outlineLvl w:val="0"/>
      </w:pPr>
      <w:r w:rsidRPr="00CD5827">
        <w:t xml:space="preserve">A térvilágítás kialakítására a külön érkezett igénybejelentés alapján külön adunk tájékoztatást. Így érdemben nem tudunk nyilatkozni, mivel nem ismerjük annak teljesítmény igényét. </w:t>
      </w:r>
    </w:p>
    <w:p w:rsidR="00DE4D82" w:rsidRPr="00CD5827" w:rsidRDefault="00DE4D82" w:rsidP="00DE4D82">
      <w:pPr>
        <w:keepNext/>
        <w:spacing w:before="120"/>
        <w:rPr>
          <w:b/>
        </w:rPr>
      </w:pPr>
      <w:r w:rsidRPr="00CD5827">
        <w:rPr>
          <w:b/>
        </w:rPr>
        <w:t>Építendő közcélú hálózat:</w:t>
      </w:r>
    </w:p>
    <w:p w:rsidR="00DE4D82" w:rsidRPr="00CD5827" w:rsidRDefault="00DE4D82" w:rsidP="00DE4D82">
      <w:pPr>
        <w:keepNext/>
        <w:numPr>
          <w:ilvl w:val="0"/>
          <w:numId w:val="5"/>
        </w:numPr>
        <w:spacing w:before="120"/>
        <w:ind w:left="714" w:hanging="357"/>
        <w:jc w:val="both"/>
      </w:pPr>
      <w:r w:rsidRPr="00CD5827">
        <w:t>kb. 2.000 m hosszú 3 × 1 × 150 mm</w:t>
      </w:r>
      <w:r w:rsidRPr="00CD5827">
        <w:rPr>
          <w:vertAlign w:val="superscript"/>
        </w:rPr>
        <w:t>2</w:t>
      </w:r>
      <w:r w:rsidRPr="00CD5827">
        <w:t xml:space="preserve"> keresztmetszetű NA2XS(f)2S típusú 22 kV-os földkábel</w:t>
      </w:r>
    </w:p>
    <w:p w:rsidR="00DE4D82" w:rsidRDefault="00DE4D82" w:rsidP="00DE4D82">
      <w:pPr>
        <w:numPr>
          <w:ilvl w:val="0"/>
          <w:numId w:val="5"/>
        </w:numPr>
        <w:ind w:left="714" w:hanging="357"/>
      </w:pPr>
      <w:r w:rsidRPr="00CD5827">
        <w:t xml:space="preserve">3 db 22/1000 típusú transzformátor állomás, 1 - 1 db 1.000 </w:t>
      </w:r>
      <w:proofErr w:type="spellStart"/>
      <w:r w:rsidRPr="00CD5827">
        <w:t>kVA</w:t>
      </w:r>
      <w:proofErr w:type="spellEnd"/>
      <w:r w:rsidRPr="00CD5827">
        <w:t xml:space="preserve">-es transzformátor géppel és 1-1 db közcélú KKT körhálózati középfeszültségű kapcsoló berendezéssel </w:t>
      </w:r>
    </w:p>
    <w:p w:rsidR="00755CAF" w:rsidRDefault="00755CAF" w:rsidP="00755CAF">
      <w:pPr>
        <w:ind w:left="714"/>
      </w:pPr>
    </w:p>
    <w:p w:rsidR="00DE4D82" w:rsidRPr="00755CAF" w:rsidRDefault="00DE4D82" w:rsidP="00755CAF">
      <w:pPr>
        <w:pStyle w:val="Cmsor2"/>
        <w:spacing w:after="240"/>
        <w:rPr>
          <w:rFonts w:ascii="Times New Roman" w:hAnsi="Times New Roman"/>
          <w:sz w:val="24"/>
        </w:rPr>
      </w:pPr>
    </w:p>
    <w:p w:rsidR="00DE4D82" w:rsidRPr="00DE4D82" w:rsidRDefault="00DE4D82" w:rsidP="00DE4D82">
      <w:pPr>
        <w:pStyle w:val="Cmsor2"/>
        <w:spacing w:after="240"/>
        <w:rPr>
          <w:rFonts w:ascii="Times New Roman" w:hAnsi="Times New Roman"/>
          <w:sz w:val="24"/>
        </w:rPr>
      </w:pPr>
      <w:r w:rsidRPr="00DE4D82">
        <w:rPr>
          <w:rFonts w:ascii="Times New Roman" w:hAnsi="Times New Roman"/>
          <w:sz w:val="24"/>
        </w:rPr>
        <w:t>Fogyasztásmérő berendezés és tartozékai:</w:t>
      </w:r>
    </w:p>
    <w:p w:rsidR="00DE4D82" w:rsidRPr="00DE4D82" w:rsidRDefault="00DE4D82" w:rsidP="00DE4D82">
      <w:pPr>
        <w:pStyle w:val="lfej"/>
        <w:tabs>
          <w:tab w:val="clear" w:pos="4536"/>
          <w:tab w:val="clear" w:pos="9072"/>
        </w:tabs>
        <w:spacing w:after="120"/>
        <w:rPr>
          <w:szCs w:val="24"/>
          <w:lang w:val="hu-HU"/>
        </w:rPr>
      </w:pPr>
      <w:r w:rsidRPr="00CD5827">
        <w:rPr>
          <w:szCs w:val="24"/>
          <w:lang w:val="hu-HU"/>
        </w:rPr>
        <w:t>Az elszámolási fogyasztásmérést 0,4 kV-</w:t>
      </w:r>
      <w:proofErr w:type="spellStart"/>
      <w:r w:rsidRPr="00CD5827">
        <w:rPr>
          <w:szCs w:val="24"/>
          <w:lang w:val="hu-HU"/>
        </w:rPr>
        <w:t>on</w:t>
      </w:r>
      <w:proofErr w:type="spellEnd"/>
      <w:r w:rsidRPr="00CD5827">
        <w:rPr>
          <w:szCs w:val="24"/>
          <w:lang w:val="hu-HU"/>
        </w:rPr>
        <w:t xml:space="preserve"> kell megvalósítani. </w:t>
      </w:r>
      <w:r w:rsidRPr="00CD5827">
        <w:rPr>
          <w:rFonts w:eastAsia="Polo"/>
          <w:szCs w:val="24"/>
          <w:lang w:val="hu-HU"/>
        </w:rPr>
        <w:t>A mérőváltók beszerzése a Rendszerhasználó feladata. A fogyasztásmérő és a modem felszerelését cégünk szakemberei végzik rendszerhasználói igénybejelentés alapján.</w:t>
      </w:r>
      <w:r>
        <w:rPr>
          <w:rFonts w:eastAsia="Polo"/>
          <w:szCs w:val="24"/>
          <w:lang w:val="hu-HU"/>
        </w:rPr>
        <w:t xml:space="preserve"> </w:t>
      </w:r>
      <w:r w:rsidRPr="00CD5827">
        <w:t xml:space="preserve">A </w:t>
      </w:r>
      <w:proofErr w:type="spellStart"/>
      <w:r w:rsidRPr="00CD5827">
        <w:t>villamos</w:t>
      </w:r>
      <w:proofErr w:type="spellEnd"/>
      <w:r w:rsidRPr="00CD5827">
        <w:t xml:space="preserve"> </w:t>
      </w:r>
      <w:proofErr w:type="spellStart"/>
      <w:r w:rsidRPr="00CD5827">
        <w:t>energia</w:t>
      </w:r>
      <w:proofErr w:type="spellEnd"/>
      <w:r w:rsidRPr="00CD5827">
        <w:t xml:space="preserve"> </w:t>
      </w:r>
      <w:proofErr w:type="spellStart"/>
      <w:r w:rsidRPr="00CD5827">
        <w:t>fogyasztás</w:t>
      </w:r>
      <w:proofErr w:type="spellEnd"/>
      <w:r w:rsidRPr="00CD5827">
        <w:t xml:space="preserve"> </w:t>
      </w:r>
      <w:proofErr w:type="spellStart"/>
      <w:r w:rsidRPr="00CD5827">
        <w:t>elszámolását</w:t>
      </w:r>
      <w:proofErr w:type="spellEnd"/>
      <w:r w:rsidRPr="00CD5827">
        <w:t xml:space="preserve"> közvetett csatlakozású (mérőváltós) elektronikus fogyasztásmérési hely kialakításával a csatlakozási ponttal megegyező feszültség szinten biztosítjuk. A fogyasztásmérési hely kiviteleztetése ügyfelünk feladata, melyet az E.ON Tiszántúli Áramhálózati Zrt-nél regisztrált vállalkozókkal kell elvégeztetni. A mérési hely kialakításáról kiviteli tervet kell készíteni 4 példányban. A fogyasztásmérőhely kialakítását, csak az engedélyezett terv alapján fogadjuk el! A VET (2007. évi LXXXVI. törvény 41. § (1)) értelmében a felszerelésre kerülő fogyasztásmérőt, vizsgáló, csatlakozó sorozatkapcsot, távleolvasáshoz szükséges modemet a hálózati engedélyes biztosítja és szereli fel, mely nem díjköteles. A készülékek mérőhelyen történő elhelyezhetőség biztosítása az ügyfél feladata. A méréshez szükséges mérőváltók (0,5S osztálypontosságú áramváltó) fogyasztói tulajdonban maradnak, beszerzéséről, hitelesítésről, üzemeltetésükről, mérési cella kialakításáról az ügyfél gondoskodik. Az elszámolási mérés </w:t>
      </w:r>
      <w:r w:rsidRPr="00CD5827">
        <w:lastRenderedPageBreak/>
        <w:t xml:space="preserve">céljait szolgáló magokra </w:t>
      </w:r>
      <w:proofErr w:type="spellStart"/>
      <w:r w:rsidRPr="00CD5827">
        <w:t>más</w:t>
      </w:r>
      <w:proofErr w:type="spellEnd"/>
      <w:r w:rsidRPr="00CD5827">
        <w:t xml:space="preserve"> </w:t>
      </w:r>
      <w:proofErr w:type="spellStart"/>
      <w:r w:rsidRPr="00CD5827">
        <w:t>berendezés</w:t>
      </w:r>
      <w:proofErr w:type="spellEnd"/>
      <w:r w:rsidRPr="00CD5827">
        <w:t xml:space="preserve"> </w:t>
      </w:r>
      <w:proofErr w:type="spellStart"/>
      <w:r w:rsidRPr="00CD5827">
        <w:t>nem</w:t>
      </w:r>
      <w:proofErr w:type="spellEnd"/>
      <w:r w:rsidRPr="00CD5827">
        <w:t xml:space="preserve"> </w:t>
      </w:r>
      <w:proofErr w:type="spellStart"/>
      <w:r w:rsidRPr="00CD5827">
        <w:t>csatlakoztatható</w:t>
      </w:r>
      <w:proofErr w:type="spellEnd"/>
      <w:r w:rsidRPr="00CD5827">
        <w:t>. A hitelesítési okmányok másolatát a létesítéssel egy időben a szolgáltató részére át kell adni. Amennyiben a mérés nem a tulajdoni határon lesz kiépítve, a csatlakozási pont (tulajdoni határ) és mérési pont közötti – fogyasztói tulajdonba lévő – táphálózaton keletkező többlet veszteséget, illetve költségeket az ügyfélnek kell viselnie. A többlet veszteséget – korrekciós tényezőt – számítással kell meghatározni, melyet a mérési tervben szerepeltetni kell. Energiagazdálkodáshoz szükséges jelkiadást a mérőről tudjuk biztosítani, optikai leválasztón keresztül. Az optikai leválasztó beépítését, műszaki megoldását, típusát szintén szerepeltetni kell a mérési tervben. Az elszámolási fogyasztásmérő távleolvasásához szükséges térerő hiányában - az üzembe helyezés időpontjára- kívülről közvetlenül hívható melléket vagy azzal egyenértékű fővonalat kell létesíteni, melynek a költségeit az ügyfél viseli. (273/2007. (X.19.) Kormányrendelet 14. § 8. pont).</w:t>
      </w:r>
    </w:p>
    <w:p w:rsidR="00DE4D82" w:rsidRPr="00DE4D82" w:rsidRDefault="00DE4D82" w:rsidP="00DE4D82">
      <w:pPr>
        <w:pStyle w:val="Cmsor1"/>
        <w:keepNext w:val="0"/>
        <w:spacing w:before="0" w:line="36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</w:pPr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A Rendszerhasználó a vételezett villamos energiát a felhasználási helyen kívüli területre nem viheti át. A rendszerhasználói tulajdonú villamos berendezések tervezése során a tervező kérésére társaságunk megadja a műszaki követelményeket, valamint a világos áttérés feltételeit, mint a tervezés kiinduló adatait. A rendszerhasználói tulajdonú villamos berendezések kialakításáról kiviteli tervet kell készíteni, melyet jóváhagyásra be kell nyújtani az Elosztói engedélyes Áramhálózati Régiójához. A mérés kialakításáról mérési kiviteli tervet kell készíteni, melyet jóváhagyásra be kell nyújtani az Elosztói engedélyes Energia Mérési Osztályára. A kivitelezést csak az Elosztói engedélyes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által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jóváhagyott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kiviteli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tervek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alapján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lehet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megkezdeni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.</w:t>
      </w:r>
    </w:p>
    <w:p w:rsidR="00DE4D82" w:rsidRDefault="00DE4D82" w:rsidP="00DE4D82">
      <w:pPr>
        <w:pStyle w:val="Cmsor1"/>
        <w:keepNext w:val="0"/>
        <w:spacing w:before="0" w:line="36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</w:pPr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A rendszerhasználói 22 kV-os berendezések üzemeltetését, karbantartását szakszemélyzettel kell biztosítani. A Rendszerhasználó és a Nyíregyházi Áramhálózati Üzem között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Üzemviteli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Megállapodást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kell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 xml:space="preserve"> </w:t>
      </w:r>
      <w:proofErr w:type="spellStart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kötni</w:t>
      </w:r>
      <w:proofErr w:type="spellEnd"/>
      <w:r w:rsidRPr="00DE4D8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/>
        </w:rPr>
        <w:t>.</w:t>
      </w:r>
    </w:p>
    <w:p w:rsidR="00522C26" w:rsidRDefault="00522C26" w:rsidP="00522C26">
      <w:pPr>
        <w:rPr>
          <w:lang w:val="en-GB"/>
        </w:rPr>
      </w:pPr>
    </w:p>
    <w:p w:rsidR="00522C26" w:rsidRPr="00522C26" w:rsidRDefault="00522C26" w:rsidP="00522C26">
      <w:pPr>
        <w:spacing w:after="120" w:line="360" w:lineRule="atLeast"/>
        <w:jc w:val="both"/>
        <w:rPr>
          <w:lang w:val="en-GB"/>
        </w:rPr>
      </w:pPr>
      <w:r>
        <w:rPr>
          <w:lang w:val="en-GB"/>
        </w:rPr>
        <w:t>A</w:t>
      </w:r>
      <w:r w:rsidRPr="00522C26">
        <w:rPr>
          <w:lang w:val="en-GB"/>
        </w:rPr>
        <w:t xml:space="preserve"> </w:t>
      </w:r>
      <w:proofErr w:type="spellStart"/>
      <w:r w:rsidRPr="00522C26">
        <w:rPr>
          <w:lang w:val="en-GB"/>
        </w:rPr>
        <w:t>részletes</w:t>
      </w:r>
      <w:proofErr w:type="spellEnd"/>
      <w:r w:rsidRPr="00522C26">
        <w:rPr>
          <w:lang w:val="en-GB"/>
        </w:rPr>
        <w:t xml:space="preserve"> </w:t>
      </w:r>
      <w:proofErr w:type="spellStart"/>
      <w:r w:rsidRPr="00522C26">
        <w:rPr>
          <w:lang w:val="en-GB"/>
        </w:rPr>
        <w:t>terv</w:t>
      </w:r>
      <w:proofErr w:type="spellEnd"/>
      <w:r w:rsidRPr="00522C26">
        <w:rPr>
          <w:lang w:val="en-GB"/>
        </w:rPr>
        <w:t xml:space="preserve"> </w:t>
      </w:r>
      <w:proofErr w:type="spellStart"/>
      <w:r w:rsidRPr="00522C26">
        <w:rPr>
          <w:lang w:val="en-GB"/>
        </w:rPr>
        <w:t>elkészítésekor</w:t>
      </w:r>
      <w:proofErr w:type="spellEnd"/>
      <w:r w:rsidRPr="00522C26">
        <w:rPr>
          <w:lang w:val="en-GB"/>
        </w:rPr>
        <w:t xml:space="preserve"> a </w:t>
      </w:r>
      <w:proofErr w:type="spellStart"/>
      <w:r>
        <w:rPr>
          <w:lang w:val="en-GB"/>
        </w:rPr>
        <w:t>mellékelt</w:t>
      </w:r>
      <w:proofErr w:type="spellEnd"/>
      <w:r w:rsidRPr="00522C26">
        <w:rPr>
          <w:lang w:val="en-GB"/>
        </w:rPr>
        <w:t xml:space="preserve"> </w:t>
      </w:r>
      <w:proofErr w:type="spellStart"/>
      <w:r w:rsidRPr="00522C26">
        <w:rPr>
          <w:lang w:val="en-GB"/>
        </w:rPr>
        <w:t>csatlakozási</w:t>
      </w:r>
      <w:proofErr w:type="spellEnd"/>
      <w:r w:rsidRPr="00522C26">
        <w:rPr>
          <w:lang w:val="en-GB"/>
        </w:rPr>
        <w:t xml:space="preserve"> </w:t>
      </w:r>
      <w:proofErr w:type="spellStart"/>
      <w:r w:rsidRPr="00522C26">
        <w:rPr>
          <w:lang w:val="en-GB"/>
        </w:rPr>
        <w:t>pontok</w:t>
      </w:r>
      <w:proofErr w:type="spellEnd"/>
      <w:r w:rsidRPr="00522C26">
        <w:rPr>
          <w:lang w:val="en-GB"/>
        </w:rPr>
        <w:t xml:space="preserve"> </w:t>
      </w:r>
      <w:proofErr w:type="spellStart"/>
      <w:r w:rsidRPr="00522C26">
        <w:rPr>
          <w:lang w:val="en-GB"/>
        </w:rPr>
        <w:t>pontos</w:t>
      </w:r>
      <w:proofErr w:type="spellEnd"/>
      <w:r w:rsidRPr="00522C26">
        <w:rPr>
          <w:lang w:val="en-GB"/>
        </w:rPr>
        <w:t xml:space="preserve"> helyét egyeztetni szükséges, a környezetben épülő/tervezett létesítmények és terepviszonyok figyelembevételével.</w:t>
      </w:r>
      <w:bookmarkStart w:id="0" w:name="_GoBack"/>
      <w:bookmarkEnd w:id="0"/>
    </w:p>
    <w:p w:rsidR="00522C26" w:rsidRPr="00522C26" w:rsidRDefault="00522C26" w:rsidP="00522C26">
      <w:pPr>
        <w:rPr>
          <w:lang w:val="en-GB"/>
        </w:rPr>
      </w:pPr>
    </w:p>
    <w:p w:rsidR="00DA04F7" w:rsidRPr="00522C26" w:rsidRDefault="00DA04F7" w:rsidP="00522C26">
      <w:pPr>
        <w:pStyle w:val="Cmsor2"/>
        <w:spacing w:after="240"/>
        <w:rPr>
          <w:rFonts w:ascii="Times New Roman" w:hAnsi="Times New Roman"/>
          <w:sz w:val="24"/>
        </w:rPr>
      </w:pPr>
    </w:p>
    <w:p w:rsidR="00522C26" w:rsidRPr="00522C26" w:rsidRDefault="00522C26" w:rsidP="00522C26">
      <w:pPr>
        <w:pStyle w:val="Cmsor2"/>
        <w:spacing w:after="240"/>
        <w:rPr>
          <w:rFonts w:ascii="Times New Roman" w:hAnsi="Times New Roman"/>
          <w:sz w:val="24"/>
        </w:rPr>
      </w:pPr>
      <w:r w:rsidRPr="00522C26">
        <w:rPr>
          <w:rFonts w:ascii="Times New Roman" w:hAnsi="Times New Roman"/>
          <w:sz w:val="24"/>
        </w:rPr>
        <w:t>Mellékletek</w:t>
      </w:r>
    </w:p>
    <w:p w:rsidR="00522C26" w:rsidRPr="00522C26" w:rsidRDefault="00522C26" w:rsidP="00522C26">
      <w:pPr>
        <w:pStyle w:val="Listaszerbekezds"/>
        <w:numPr>
          <w:ilvl w:val="0"/>
          <w:numId w:val="5"/>
        </w:numPr>
        <w:rPr>
          <w:szCs w:val="20"/>
          <w:lang w:val="en-GB"/>
        </w:rPr>
      </w:pPr>
      <w:proofErr w:type="spellStart"/>
      <w:r>
        <w:rPr>
          <w:szCs w:val="20"/>
          <w:lang w:val="en-GB"/>
        </w:rPr>
        <w:t>Térképvázlat</w:t>
      </w:r>
      <w:proofErr w:type="spellEnd"/>
    </w:p>
    <w:sectPr w:rsidR="00522C26" w:rsidRPr="00522C26" w:rsidSect="007145D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74AD4"/>
    <w:multiLevelType w:val="hybridMultilevel"/>
    <w:tmpl w:val="FDA43D76"/>
    <w:lvl w:ilvl="0" w:tplc="1578E2E4">
      <w:start w:val="1"/>
      <w:numFmt w:val="bullet"/>
      <w:lvlText w:val="-"/>
      <w:lvlJc w:val="left"/>
      <w:pPr>
        <w:ind w:left="720" w:hanging="360"/>
      </w:pPr>
      <w:rPr>
        <w:rFonts w:ascii="Polo" w:eastAsia="Times New Roman" w:hAnsi="Pol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125A"/>
    <w:multiLevelType w:val="hybridMultilevel"/>
    <w:tmpl w:val="756C1224"/>
    <w:lvl w:ilvl="0" w:tplc="D590A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66"/>
    <w:multiLevelType w:val="multilevel"/>
    <w:tmpl w:val="F7D8C2D4"/>
    <w:lvl w:ilvl="0">
      <w:start w:val="1"/>
      <w:numFmt w:val="decimal"/>
      <w:pStyle w:val="Felsorols2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5E06D8B"/>
    <w:multiLevelType w:val="hybridMultilevel"/>
    <w:tmpl w:val="5A84DC6A"/>
    <w:lvl w:ilvl="0" w:tplc="FFFFFFFF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D9"/>
    <w:rsid w:val="00091340"/>
    <w:rsid w:val="0039097B"/>
    <w:rsid w:val="004802D9"/>
    <w:rsid w:val="00522C26"/>
    <w:rsid w:val="00755CAF"/>
    <w:rsid w:val="007F31F6"/>
    <w:rsid w:val="008B081F"/>
    <w:rsid w:val="00DA04F7"/>
    <w:rsid w:val="00DE4D82"/>
    <w:rsid w:val="00F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BBCF"/>
  <w15:chartTrackingRefBased/>
  <w15:docId w15:val="{CC742B6B-616D-4937-97BB-EB9F8AB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qFormat/>
    <w:rsid w:val="00480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aliases w:val="Subtitle Char1,Char Char,Char7 Char"/>
    <w:basedOn w:val="Norml"/>
    <w:next w:val="Norml"/>
    <w:link w:val="Cmsor2Char1"/>
    <w:qFormat/>
    <w:rsid w:val="004802D9"/>
    <w:pPr>
      <w:shd w:val="clear" w:color="auto" w:fill="F2F2F2"/>
      <w:ind w:right="-6"/>
      <w:contextualSpacing/>
      <w:jc w:val="center"/>
      <w:outlineLvl w:val="1"/>
    </w:pPr>
    <w:rPr>
      <w:rFonts w:ascii="Times" w:eastAsia="Times" w:hAnsi="Times"/>
      <w:b/>
      <w:smallCaps/>
      <w:color w:val="000000"/>
      <w:sz w:val="28"/>
    </w:rPr>
  </w:style>
  <w:style w:type="paragraph" w:styleId="Cmsor7">
    <w:name w:val="heading 7"/>
    <w:basedOn w:val="Norml"/>
    <w:next w:val="Norml"/>
    <w:link w:val="Cmsor7Char"/>
    <w:qFormat/>
    <w:rsid w:val="004802D9"/>
    <w:pPr>
      <w:keepNext/>
      <w:tabs>
        <w:tab w:val="left" w:pos="900"/>
      </w:tabs>
      <w:ind w:left="900" w:hanging="900"/>
      <w:jc w:val="both"/>
      <w:outlineLvl w:val="6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rsid w:val="004802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4802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4802D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1">
    <w:name w:val="Címsor 2 Char1"/>
    <w:aliases w:val="Subtitle Char1 Char,Char Char Char,Char7 Char Char"/>
    <w:link w:val="Cmsor2"/>
    <w:locked/>
    <w:rsid w:val="004802D9"/>
    <w:rPr>
      <w:rFonts w:ascii="Times" w:eastAsia="Times" w:hAnsi="Times" w:cs="Times New Roman"/>
      <w:b/>
      <w:smallCaps/>
      <w:color w:val="000000"/>
      <w:sz w:val="28"/>
      <w:szCs w:val="24"/>
      <w:shd w:val="clear" w:color="auto" w:fill="F2F2F2"/>
      <w:lang w:eastAsia="hu-HU"/>
    </w:rPr>
  </w:style>
  <w:style w:type="paragraph" w:styleId="Felsorols2">
    <w:name w:val="List Bullet 2"/>
    <w:basedOn w:val="Norml"/>
    <w:uiPriority w:val="99"/>
    <w:rsid w:val="004802D9"/>
    <w:pPr>
      <w:numPr>
        <w:numId w:val="1"/>
      </w:numPr>
      <w:suppressAutoHyphens/>
    </w:pPr>
    <w:rPr>
      <w:lang w:val="en-GB" w:eastAsia="ar-SA"/>
    </w:rPr>
  </w:style>
  <w:style w:type="paragraph" w:styleId="Listaszerbekezds">
    <w:name w:val="List Paragraph"/>
    <w:aliases w:val="Számozott lista 1,lista_2"/>
    <w:basedOn w:val="Norml"/>
    <w:link w:val="ListaszerbekezdsChar"/>
    <w:uiPriority w:val="34"/>
    <w:qFormat/>
    <w:rsid w:val="004802D9"/>
    <w:pPr>
      <w:ind w:left="708"/>
    </w:pPr>
    <w:rPr>
      <w:rFonts w:eastAsia="MS Mincho"/>
    </w:rPr>
  </w:style>
  <w:style w:type="character" w:customStyle="1" w:styleId="ListaszerbekezdsChar">
    <w:name w:val="Listaszerű bekezdés Char"/>
    <w:aliases w:val="Számozott lista 1 Char,lista_2 Char"/>
    <w:link w:val="Listaszerbekezds"/>
    <w:uiPriority w:val="34"/>
    <w:locked/>
    <w:rsid w:val="004802D9"/>
    <w:rPr>
      <w:rFonts w:ascii="Times New Roman" w:eastAsia="MS Mincho" w:hAnsi="Times New Roman" w:cs="Times New Roman"/>
      <w:sz w:val="24"/>
      <w:szCs w:val="24"/>
      <w:lang w:eastAsia="hu-HU"/>
    </w:rPr>
  </w:style>
  <w:style w:type="paragraph" w:styleId="Szvegtrzs">
    <w:name w:val="Body Text"/>
    <w:aliases w:val=" Char6,Char6, Char5,Char5"/>
    <w:basedOn w:val="Norml"/>
    <w:link w:val="SzvegtrzsChar"/>
    <w:rsid w:val="004802D9"/>
    <w:pPr>
      <w:ind w:right="-143"/>
      <w:jc w:val="both"/>
    </w:pPr>
    <w:rPr>
      <w:rFonts w:ascii="CG Times" w:hAnsi="CG Times"/>
      <w:sz w:val="28"/>
      <w:szCs w:val="20"/>
    </w:rPr>
  </w:style>
  <w:style w:type="character" w:customStyle="1" w:styleId="SzvegtrzsChar">
    <w:name w:val="Szövegtörzs Char"/>
    <w:aliases w:val=" Char6 Char,Char6 Char, Char5 Char,Char5 Char"/>
    <w:basedOn w:val="Bekezdsalapbettpusa"/>
    <w:link w:val="Szvegtrzs"/>
    <w:rsid w:val="004802D9"/>
    <w:rPr>
      <w:rFonts w:ascii="CG Times" w:eastAsia="Times New Roman" w:hAnsi="CG Times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802D9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802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1">
    <w:name w:val="Felsorolás1"/>
    <w:basedOn w:val="Norml"/>
    <w:rsid w:val="004802D9"/>
    <w:pPr>
      <w:suppressAutoHyphens/>
      <w:jc w:val="both"/>
    </w:pPr>
    <w:rPr>
      <w:sz w:val="16"/>
      <w:szCs w:val="16"/>
      <w:lang w:eastAsia="zh-CN"/>
    </w:rPr>
  </w:style>
  <w:style w:type="paragraph" w:styleId="lfej">
    <w:name w:val="header"/>
    <w:basedOn w:val="Norml"/>
    <w:link w:val="lfejChar"/>
    <w:rsid w:val="00DE4D82"/>
    <w:pPr>
      <w:tabs>
        <w:tab w:val="center" w:pos="4536"/>
        <w:tab w:val="right" w:pos="9072"/>
      </w:tabs>
      <w:spacing w:line="360" w:lineRule="atLeast"/>
      <w:jc w:val="both"/>
    </w:pPr>
    <w:rPr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E4D82"/>
    <w:rPr>
      <w:rFonts w:ascii="Times New Roman" w:eastAsia="Times New Roman" w:hAnsi="Times New Roman" w:cs="Times New Roman"/>
      <w:sz w:val="24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Attila</dc:creator>
  <cp:keywords/>
  <dc:description/>
  <cp:lastModifiedBy>User</cp:lastModifiedBy>
  <cp:revision>6</cp:revision>
  <dcterms:created xsi:type="dcterms:W3CDTF">2018-12-21T10:10:00Z</dcterms:created>
  <dcterms:modified xsi:type="dcterms:W3CDTF">2018-12-21T11:48:00Z</dcterms:modified>
</cp:coreProperties>
</file>